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24" w:rsidRPr="00693024" w:rsidRDefault="00693024" w:rsidP="00693024">
      <w:pPr>
        <w:spacing w:before="240" w:after="240" w:line="36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ПРОГ</w:t>
      </w:r>
      <w:bookmarkStart w:id="0" w:name="_GoBack"/>
      <w:bookmarkEnd w:id="0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РАМА</w:t>
      </w:r>
      <w:r w:rsidRPr="00693024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«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Охорона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збереження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об’єктів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</w:rPr>
        <w:t> 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м. </w:t>
      </w:r>
      <w:proofErr w:type="spellStart"/>
      <w:proofErr w:type="gram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Дрогобича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</w:rPr>
        <w:t>  </w:t>
      </w:r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на</w:t>
      </w:r>
      <w:proofErr w:type="gramEnd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2016 – 2020 роки»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І.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Загальні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положення</w:t>
      </w:r>
      <w:proofErr w:type="spellEnd"/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Дрогобич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історичне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місто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яке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зберегло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в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процесі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свого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розвитку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не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тільки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пам’ятки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різних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видів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але й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історичну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планувальну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структуру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центральної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частини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міста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. Культурна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міста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є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невід’ємною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частиною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надбання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України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відтак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і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світової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. У 2013р.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дерев’яна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церква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святого </w:t>
      </w:r>
      <w:proofErr w:type="gramStart"/>
      <w:r w:rsidRPr="00693024">
        <w:rPr>
          <w:rFonts w:ascii="Arial" w:eastAsia="Times New Roman" w:hAnsi="Arial" w:cs="Arial"/>
          <w:sz w:val="20"/>
          <w:szCs w:val="20"/>
          <w:lang w:val="ru-RU"/>
        </w:rPr>
        <w:t>Юра</w:t>
      </w:r>
      <w:r w:rsidRPr="00693024">
        <w:rPr>
          <w:rFonts w:ascii="Arial" w:eastAsia="Times New Roman" w:hAnsi="Arial" w:cs="Arial"/>
          <w:sz w:val="20"/>
          <w:szCs w:val="20"/>
        </w:rPr>
        <w:t> </w:t>
      </w: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внесена</w:t>
      </w:r>
      <w:proofErr w:type="gram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до Списку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ЮНЕСКО.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До Державного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Реєстру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нерухомих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пам’яток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у м.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Дрогобичі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внесено: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17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пам’яток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історії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7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пам’яток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монументального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мистецтва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178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пам’яток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архітектури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місцевого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proofErr w:type="gram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значення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;</w:t>
      </w:r>
      <w:proofErr w:type="gramEnd"/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7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пам’яток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архітектури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національного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значення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Відповідно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до Постанови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Кабінету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Міністрів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України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від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26.07.2001 р. № 878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місто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Дрогобич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входить до Списку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історичних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населених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міст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України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тому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питання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дотримання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пам’яткоохороннного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законодавства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особливо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актуальне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Законом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України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«Про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місцеве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самоврядування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в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Україні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» (ст.31, п.6; ст.32, п.6, п.10)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функції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забезпечення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охорони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пам’яток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історії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покладено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на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органи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місцевого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самоврядування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що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передбачає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розроблення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реалізацію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цілого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комплексу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заходів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за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участю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органів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місцевого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самоврядування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виконавчої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влади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депутатів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громадських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організацій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суб’єктів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господарювання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жителів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міста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Вирішення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проблем у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сфері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охорони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можливе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за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умови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розроблення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реалізації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міської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цільової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програми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охорони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Міська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програма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охорони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це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система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заходів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що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здійснюється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органами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виконавчої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влади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місцевого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самоврядування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шляхом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забезпечення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ефективного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управління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науково-дослідницькою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економічною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просвітницькою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технічною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виробничою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складовими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частинами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галузі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охорони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Міська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програма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спрямовується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на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забезпечення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сприятливих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умов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щодо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реалізації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нормативно-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правових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актів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України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в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галузі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охорони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з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урахуванням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особливостей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міста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ефективного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залучення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інтелектуального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економічного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потенціалів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lastRenderedPageBreak/>
        <w:t xml:space="preserve">В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умовах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ринкових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відносин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пам’ятки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слід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розглядати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як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об’єкти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що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мають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велике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соціально-культурне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значення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об’єкти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інвестування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і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розвитку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фінансових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технічних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науково-технологічних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засад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формування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сфери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Принциповими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положеннями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в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питаннях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організації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реабілітації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ремонту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реставрації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об’єктів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є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питання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прав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власності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на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нерухомі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пам’ятки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правове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регулювання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відносин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суб’єктів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охорони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Законом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України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«Про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охорону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»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визначені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питання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з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регулювання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прав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власності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на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пам’ятку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обов’язки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власників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користувачів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щодо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забезпечення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належного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технічного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стану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схоронності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пам’яток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ІІ. Мета,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завдання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принципи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пріоритети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програми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охорони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спадщини</w:t>
      </w:r>
      <w:proofErr w:type="spellEnd"/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Мета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Програми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«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Охорона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збереження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об’єктів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м.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Дрогобича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на 2016-2020 роки»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полягає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у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створенні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умов для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організаційно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-правового,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фінансово-економічного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науково-виробничого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забезпечення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охорони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в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інтересах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динамічного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соціально-економічного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культурного та духовного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розвитку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м.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Дрогобича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Основними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завданнями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реалізації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Програми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є: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проведення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паспортизації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об’єктів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формування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пропозицій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для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включення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цих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об’єктів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до Державного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реєстру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нерухомих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пам’яток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України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впровадження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налагодження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системи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обліку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об’єктів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увічнення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визначних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історичних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подій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видатних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постатей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в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історії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міста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популяризація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краєзнавчої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діяльності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відпрацювання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методів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регулювання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інвестиційного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процесу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підвищення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рівня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відповідальності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власників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користувачів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об’єктів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за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їх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збереження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використання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удосконалення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структури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у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сфері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охорони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підвищення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ефективності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співпраці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у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сфері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охорони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виконавчих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органів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міської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ради;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створення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умов для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розвитку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туристичної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сфери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на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території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м.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Дрогобича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з метою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створення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історичного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іміджу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міста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Дрогобича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як культурного,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мистецького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туристичного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центру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України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lastRenderedPageBreak/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забезпечення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виконання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першочергових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протиаварійних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консерваційних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робіт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на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найбільш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цінних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пам’ятках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організація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проведення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в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місті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комплексних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досліджень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пам’яток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сакральної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архітектури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вирішення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науково-технічних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технологічних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завдань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збереження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консервації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і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реставрації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пам’яток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пошук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розробка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традиційних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і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нових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реставраційних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технологій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впровадження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їх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у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реставраційну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практику;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організація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спеціального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нагляду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(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моніторингу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) за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технічним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станом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пам’яток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ведення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відповідних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інформаційних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баз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даних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щодо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технічного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стану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об’єктів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розробка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інформаційних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систем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видавничої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діяльності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які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б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забезпечували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загальну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доступність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до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інформаційних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масивів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у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галузі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охорони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забезпечення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належних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умов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дотримання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режимів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використання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об’єктів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їх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територій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зон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охорони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Основними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пріоритетами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Програми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є: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створення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потужної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науково-інформаційної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міської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бази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у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сфері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охорони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забезпечення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виконання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першочергових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протиаварійних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консерваційних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робіт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на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найбільш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цінних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пам’ятках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забезпечення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першочергових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досліджень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з метою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формування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інформаційно-методичної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бази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охорони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у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Дрогобичі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забезпечення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досліджень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розробка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науково-практичної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документації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на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першочергові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протиаварійні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реставраційні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роботи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на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найбільш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цінних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пам’ятках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створення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привабливих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умов для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залучення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інвестицій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до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об’єктів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через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розробку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реалізацію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інвестиційних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проектів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і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програм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693024">
        <w:rPr>
          <w:rFonts w:ascii="Arial" w:eastAsia="Times New Roman" w:hAnsi="Arial" w:cs="Arial"/>
          <w:sz w:val="20"/>
          <w:szCs w:val="20"/>
        </w:rPr>
        <w:t xml:space="preserve">– </w:t>
      </w:r>
      <w:proofErr w:type="spellStart"/>
      <w:proofErr w:type="gramStart"/>
      <w:r w:rsidRPr="00693024">
        <w:rPr>
          <w:rFonts w:ascii="Arial" w:eastAsia="Times New Roman" w:hAnsi="Arial" w:cs="Arial"/>
          <w:sz w:val="20"/>
          <w:szCs w:val="20"/>
        </w:rPr>
        <w:t>розробка</w:t>
      </w:r>
      <w:proofErr w:type="spellEnd"/>
      <w:proofErr w:type="gram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першочергових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фінансово-економічних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заходів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щодо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збереження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найбільш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цінних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пам’яток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міста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основі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поєднання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можливостей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бюджетів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всіх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рівнів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внутрішнього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фінансово-економічного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потенціалу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нерухомих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пам’яток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приватних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коштів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власників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та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користувачів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пам’яток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>.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ІІІ.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Фінансове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забезпечення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>.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lastRenderedPageBreak/>
        <w:t>Фінансове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proofErr w:type="gram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забезпечення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> </w:t>
      </w: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Програми</w:t>
      </w:r>
      <w:proofErr w:type="spellEnd"/>
      <w:proofErr w:type="gram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здійснюється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з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урахуванням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реальних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можливостей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місцевого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бюджету,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із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залученням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коштів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власників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користувачів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пам’яток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інших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джерел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не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заборонених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законодавством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693024" w:rsidRPr="00693024" w:rsidRDefault="00693024" w:rsidP="00693024">
      <w:pPr>
        <w:numPr>
          <w:ilvl w:val="0"/>
          <w:numId w:val="1"/>
        </w:numPr>
        <w:spacing w:after="0" w:line="360" w:lineRule="auto"/>
        <w:textAlignment w:val="baseline"/>
        <w:rPr>
          <w:rFonts w:ascii="inherit" w:eastAsia="Times New Roman" w:hAnsi="inherit" w:cs="Arial"/>
          <w:sz w:val="20"/>
          <w:szCs w:val="20"/>
          <w:lang w:val="ru-RU"/>
        </w:rPr>
      </w:pPr>
      <w:r w:rsidRPr="00693024">
        <w:rPr>
          <w:rFonts w:ascii="inherit" w:eastAsia="Times New Roman" w:hAnsi="inherit" w:cs="Arial"/>
          <w:b/>
          <w:bCs/>
          <w:sz w:val="20"/>
          <w:szCs w:val="20"/>
          <w:lang w:val="ru-RU"/>
        </w:rPr>
        <w:t xml:space="preserve">Заходи з </w:t>
      </w:r>
      <w:proofErr w:type="spellStart"/>
      <w:r w:rsidRPr="00693024">
        <w:rPr>
          <w:rFonts w:ascii="inherit" w:eastAsia="Times New Roman" w:hAnsi="inherit" w:cs="Arial"/>
          <w:b/>
          <w:bCs/>
          <w:sz w:val="20"/>
          <w:szCs w:val="20"/>
          <w:lang w:val="ru-RU"/>
        </w:rPr>
        <w:t>охорони</w:t>
      </w:r>
      <w:proofErr w:type="spellEnd"/>
      <w:r w:rsidRPr="00693024">
        <w:rPr>
          <w:rFonts w:ascii="inherit" w:eastAsia="Times New Roman" w:hAnsi="inherit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inherit" w:eastAsia="Times New Roman" w:hAnsi="inherit" w:cs="Arial"/>
          <w:b/>
          <w:bCs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inherit" w:eastAsia="Times New Roman" w:hAnsi="inherit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inherit" w:eastAsia="Times New Roman" w:hAnsi="inherit" w:cs="Arial"/>
          <w:b/>
          <w:bCs/>
          <w:sz w:val="20"/>
          <w:szCs w:val="20"/>
          <w:lang w:val="ru-RU"/>
        </w:rPr>
        <w:t>спадщини</w:t>
      </w:r>
      <w:proofErr w:type="spellEnd"/>
      <w:r w:rsidRPr="00693024">
        <w:rPr>
          <w:rFonts w:ascii="inherit" w:eastAsia="Times New Roman" w:hAnsi="inherit" w:cs="Arial"/>
          <w:b/>
          <w:bCs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inherit" w:eastAsia="Times New Roman" w:hAnsi="inherit" w:cs="Arial"/>
          <w:b/>
          <w:bCs/>
          <w:sz w:val="20"/>
          <w:szCs w:val="20"/>
          <w:lang w:val="ru-RU"/>
        </w:rPr>
        <w:t>збереження</w:t>
      </w:r>
      <w:proofErr w:type="spellEnd"/>
      <w:r w:rsidRPr="00693024">
        <w:rPr>
          <w:rFonts w:ascii="inherit" w:eastAsia="Times New Roman" w:hAnsi="inherit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inherit" w:eastAsia="Times New Roman" w:hAnsi="inherit" w:cs="Arial"/>
          <w:b/>
          <w:bCs/>
          <w:sz w:val="20"/>
          <w:szCs w:val="20"/>
          <w:lang w:val="ru-RU"/>
        </w:rPr>
        <w:t>історичного</w:t>
      </w:r>
      <w:proofErr w:type="spellEnd"/>
      <w:r w:rsidRPr="00693024">
        <w:rPr>
          <w:rFonts w:ascii="inherit" w:eastAsia="Times New Roman" w:hAnsi="inherit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inherit" w:eastAsia="Times New Roman" w:hAnsi="inherit" w:cs="Arial"/>
          <w:b/>
          <w:bCs/>
          <w:sz w:val="20"/>
          <w:szCs w:val="20"/>
          <w:lang w:val="ru-RU"/>
        </w:rPr>
        <w:t>середовища</w:t>
      </w:r>
      <w:proofErr w:type="spellEnd"/>
      <w:r w:rsidRPr="00693024">
        <w:rPr>
          <w:rFonts w:ascii="inherit" w:eastAsia="Times New Roman" w:hAnsi="inherit" w:cs="Arial"/>
          <w:b/>
          <w:bCs/>
          <w:sz w:val="20"/>
          <w:szCs w:val="20"/>
          <w:lang w:val="ru-RU"/>
        </w:rPr>
        <w:t xml:space="preserve"> м. </w:t>
      </w:r>
      <w:proofErr w:type="spellStart"/>
      <w:r w:rsidRPr="00693024">
        <w:rPr>
          <w:rFonts w:ascii="inherit" w:eastAsia="Times New Roman" w:hAnsi="inherit" w:cs="Arial"/>
          <w:b/>
          <w:bCs/>
          <w:sz w:val="20"/>
          <w:szCs w:val="20"/>
          <w:lang w:val="ru-RU"/>
        </w:rPr>
        <w:t>Дрогобича</w:t>
      </w:r>
      <w:proofErr w:type="spellEnd"/>
      <w:r w:rsidRPr="00693024">
        <w:rPr>
          <w:rFonts w:ascii="inherit" w:eastAsia="Times New Roman" w:hAnsi="inherit" w:cs="Arial"/>
          <w:b/>
          <w:bCs/>
          <w:sz w:val="20"/>
          <w:szCs w:val="20"/>
          <w:lang w:val="ru-RU"/>
        </w:rPr>
        <w:t>.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Напрями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діяльності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заходи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виконання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Програми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«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Охорона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збереження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об’єктів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м.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Дрогобича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на 2016-2020 роки» (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додаток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1).</w:t>
      </w:r>
    </w:p>
    <w:p w:rsidR="00693024" w:rsidRPr="00693024" w:rsidRDefault="00693024" w:rsidP="00693024">
      <w:pPr>
        <w:numPr>
          <w:ilvl w:val="0"/>
          <w:numId w:val="2"/>
        </w:numPr>
        <w:spacing w:after="0" w:line="360" w:lineRule="auto"/>
        <w:textAlignment w:val="baseline"/>
        <w:rPr>
          <w:rFonts w:ascii="inherit" w:eastAsia="Times New Roman" w:hAnsi="inherit" w:cs="Arial"/>
          <w:sz w:val="20"/>
          <w:szCs w:val="20"/>
        </w:rPr>
      </w:pPr>
      <w:proofErr w:type="spellStart"/>
      <w:r w:rsidRPr="00693024">
        <w:rPr>
          <w:rFonts w:ascii="inherit" w:eastAsia="Times New Roman" w:hAnsi="inherit" w:cs="Arial"/>
          <w:b/>
          <w:bCs/>
          <w:sz w:val="20"/>
          <w:szCs w:val="20"/>
        </w:rPr>
        <w:t>Очікуваний</w:t>
      </w:r>
      <w:proofErr w:type="spellEnd"/>
      <w:r w:rsidRPr="00693024">
        <w:rPr>
          <w:rFonts w:ascii="inherit" w:eastAsia="Times New Roman" w:hAnsi="inherit" w:cs="Arial"/>
          <w:b/>
          <w:bCs/>
          <w:sz w:val="20"/>
          <w:szCs w:val="20"/>
        </w:rPr>
        <w:t xml:space="preserve"> </w:t>
      </w:r>
      <w:proofErr w:type="spellStart"/>
      <w:r w:rsidRPr="00693024">
        <w:rPr>
          <w:rFonts w:ascii="inherit" w:eastAsia="Times New Roman" w:hAnsi="inherit" w:cs="Arial"/>
          <w:b/>
          <w:bCs/>
          <w:sz w:val="20"/>
          <w:szCs w:val="20"/>
        </w:rPr>
        <w:t>результат</w:t>
      </w:r>
      <w:proofErr w:type="spellEnd"/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693024">
        <w:rPr>
          <w:rFonts w:ascii="Arial" w:eastAsia="Times New Roman" w:hAnsi="Arial" w:cs="Arial"/>
          <w:sz w:val="20"/>
          <w:szCs w:val="20"/>
        </w:rPr>
        <w:t>Виконання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програми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має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дати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поштовх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позитивним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зрушенням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сфері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охорони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усвідомлення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громадою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необхідності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збереження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пам’яток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для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нинішнього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і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майбутнього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поколінь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як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важливого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чинника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патріотичного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та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історико-культурного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</w:rPr>
        <w:t>виховання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>.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Реалізація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заходів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Програми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дасть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змогу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: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створити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комплексну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систему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охорони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міста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зобов’язати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суб’єкти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господарювання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усіх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форм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власності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організації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установи,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громадян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які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проводять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діяльність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(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проживають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) в межах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історичного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ареалу м.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Дрогобича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дотримуватися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пам’яткоохоронного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законодавства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нормативно-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правових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актів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України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отримати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ґрунтовну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історико-архітектурну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інформацію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щодо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історичної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забудови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міста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території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історичного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ареалу,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технічного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стану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будівель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споруд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усунути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негативні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містобудівні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техногенні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фактори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що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спричиняють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руйнацію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і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деградацію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забудови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забезпечити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умови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раціонального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використання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пам’яток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об’єктів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зберегти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історико-культурне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середовище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міста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у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поєднанні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із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заходами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модернізації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міської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інфраструктури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забезпечити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охорону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об’єктів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пам’яток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в тому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числі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історичного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ареалу;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здійснити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належному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сучасному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рівні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паспортизацію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об’єктів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облік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proofErr w:type="gram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об’єктів</w:t>
      </w:r>
      <w:proofErr w:type="spellEnd"/>
      <w:r w:rsidRPr="00693024">
        <w:rPr>
          <w:rFonts w:ascii="Arial" w:eastAsia="Times New Roman" w:hAnsi="Arial" w:cs="Arial"/>
          <w:sz w:val="20"/>
          <w:szCs w:val="20"/>
        </w:rPr>
        <w:t> </w:t>
      </w: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proofErr w:type="gram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проводити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реставрацію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музеєфікацію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об’єктів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культурної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спадщини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стимулювати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розвиток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туристичної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інфраструктури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міста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–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покращити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інвестиційну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привабливість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міста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 xml:space="preserve"> та </w:t>
      </w:r>
      <w:proofErr w:type="spellStart"/>
      <w:r w:rsidRPr="00693024">
        <w:rPr>
          <w:rFonts w:ascii="Arial" w:eastAsia="Times New Roman" w:hAnsi="Arial" w:cs="Arial"/>
          <w:sz w:val="20"/>
          <w:szCs w:val="20"/>
          <w:lang w:val="ru-RU"/>
        </w:rPr>
        <w:t>регіону</w:t>
      </w:r>
      <w:proofErr w:type="spellEnd"/>
      <w:r w:rsidRPr="00693024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693024" w:rsidRPr="00693024" w:rsidRDefault="00693024" w:rsidP="00693024">
      <w:pPr>
        <w:spacing w:before="240" w:after="24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693024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</w:t>
      </w:r>
      <w:r w:rsidRPr="00693024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693024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</w:rPr>
        <w:t>Секретар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</w:rPr>
        <w:t>міської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</w:rPr>
        <w:t>ради</w:t>
      </w:r>
      <w:proofErr w:type="spellEnd"/>
      <w:r w:rsidRPr="00693024">
        <w:rPr>
          <w:rFonts w:ascii="Arial" w:eastAsia="Times New Roman" w:hAnsi="Arial" w:cs="Arial"/>
          <w:b/>
          <w:bCs/>
          <w:sz w:val="20"/>
          <w:szCs w:val="20"/>
        </w:rPr>
        <w:t xml:space="preserve">                       Т. </w:t>
      </w:r>
      <w:proofErr w:type="spellStart"/>
      <w:r w:rsidRPr="00693024">
        <w:rPr>
          <w:rFonts w:ascii="Arial" w:eastAsia="Times New Roman" w:hAnsi="Arial" w:cs="Arial"/>
          <w:b/>
          <w:bCs/>
          <w:sz w:val="20"/>
          <w:szCs w:val="20"/>
        </w:rPr>
        <w:t>Метик</w:t>
      </w:r>
      <w:proofErr w:type="spellEnd"/>
    </w:p>
    <w:p w:rsidR="0044305F" w:rsidRPr="00693024" w:rsidRDefault="0044305F" w:rsidP="00693024">
      <w:pPr>
        <w:spacing w:line="360" w:lineRule="auto"/>
      </w:pPr>
    </w:p>
    <w:sectPr w:rsidR="0044305F" w:rsidRPr="006930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73D25"/>
    <w:multiLevelType w:val="multilevel"/>
    <w:tmpl w:val="E8F0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C1D35"/>
    <w:multiLevelType w:val="multilevel"/>
    <w:tmpl w:val="4624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24"/>
    <w:rsid w:val="0044305F"/>
    <w:rsid w:val="006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120EA-0740-4D46-9F21-CCFD5A58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2019-11-13T13:30:00Z</dcterms:created>
  <dcterms:modified xsi:type="dcterms:W3CDTF">2019-11-13T13:31:00Z</dcterms:modified>
</cp:coreProperties>
</file>