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AC" w:rsidRDefault="00822AAC" w:rsidP="00822AAC">
      <w:pPr>
        <w:pStyle w:val="a8"/>
      </w:pPr>
    </w:p>
    <w:p w:rsidR="00822AAC" w:rsidRPr="00822AAC" w:rsidRDefault="00822AAC" w:rsidP="00822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                                           ЗАТВЕРДЖУЮ:</w:t>
      </w:r>
    </w:p>
    <w:p w:rsidR="00822AAC" w:rsidRPr="00822AAC" w:rsidRDefault="00822AAC" w:rsidP="00822AAC">
      <w:pPr>
        <w:ind w:left="1134" w:hanging="1134"/>
        <w:jc w:val="right"/>
        <w:rPr>
          <w:rFonts w:ascii="Times New Roman" w:hAnsi="Times New Roman" w:cs="Times New Roman"/>
          <w:sz w:val="28"/>
          <w:szCs w:val="28"/>
        </w:rPr>
      </w:pPr>
    </w:p>
    <w:p w:rsidR="00822AAC" w:rsidRPr="00822AAC" w:rsidRDefault="00822AAC" w:rsidP="00822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AC" w:rsidRPr="00822AAC" w:rsidRDefault="00822AAC" w:rsidP="00822AAC">
      <w:pPr>
        <w:jc w:val="right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                                      та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:rsidR="00822AAC" w:rsidRPr="00822AAC" w:rsidRDefault="00822AAC" w:rsidP="00822A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_________________І.Терлецький</w:t>
      </w:r>
      <w:proofErr w:type="spellEnd"/>
    </w:p>
    <w:p w:rsidR="00822AAC" w:rsidRPr="00822AAC" w:rsidRDefault="00822AAC" w:rsidP="00822AA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22AAC" w:rsidRPr="00822AAC" w:rsidRDefault="00822AAC" w:rsidP="00822AAC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                                          "_____"____________2018   р.</w:t>
      </w:r>
    </w:p>
    <w:p w:rsidR="00822AAC" w:rsidRPr="00822AAC" w:rsidRDefault="00822AAC" w:rsidP="00822AAC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22AAC" w:rsidRPr="00822AAC" w:rsidRDefault="00822AAC" w:rsidP="00822A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2AAC" w:rsidRPr="00822AAC" w:rsidRDefault="00822AAC" w:rsidP="00822AAC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>ПОСАДОВА ІНСТРУКЦІЯ</w:t>
      </w:r>
    </w:p>
    <w:p w:rsidR="00822AAC" w:rsidRPr="00822AAC" w:rsidRDefault="00822AAC" w:rsidP="00822AAC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822AAC">
        <w:rPr>
          <w:rFonts w:ascii="Times New Roman" w:hAnsi="Times New Roman" w:cs="Times New Roman"/>
          <w:b/>
          <w:sz w:val="28"/>
          <w:szCs w:val="28"/>
        </w:rPr>
        <w:t>іх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видів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компенсацій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пільг</w:t>
      </w:r>
      <w:proofErr w:type="spellEnd"/>
      <w:r w:rsidRPr="00822AAC">
        <w:rPr>
          <w:rFonts w:ascii="Times New Roman" w:hAnsi="Times New Roman" w:cs="Times New Roman"/>
          <w:szCs w:val="28"/>
        </w:rPr>
        <w:t xml:space="preserve"> </w:t>
      </w:r>
      <w:r w:rsidRPr="00822AAC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Стебникуправління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AAC" w:rsidRPr="00822AAC" w:rsidRDefault="00822AAC" w:rsidP="00822AAC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Дрогобицької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22AAC" w:rsidRPr="00822AAC" w:rsidRDefault="00822AAC" w:rsidP="00822AAC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AC" w:rsidRPr="00822AAC" w:rsidRDefault="00822AAC" w:rsidP="00822AAC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>КУЛИНИЧ ЛІ</w:t>
      </w:r>
      <w:proofErr w:type="gramStart"/>
      <w:r w:rsidRPr="00822AA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822AAC">
        <w:rPr>
          <w:rFonts w:ascii="Times New Roman" w:hAnsi="Times New Roman" w:cs="Times New Roman"/>
          <w:b/>
          <w:sz w:val="28"/>
          <w:szCs w:val="28"/>
        </w:rPr>
        <w:t>ІЇ ПЕТРІВНИ</w:t>
      </w:r>
    </w:p>
    <w:p w:rsidR="00822AAC" w:rsidRPr="00822AAC" w:rsidRDefault="00822AAC" w:rsidP="00822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AC" w:rsidRPr="00822AAC" w:rsidRDefault="00822AAC" w:rsidP="0082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      Начальник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:</w:t>
      </w:r>
    </w:p>
    <w:p w:rsidR="00822AAC" w:rsidRPr="00822AAC" w:rsidRDefault="00822AAC" w:rsidP="00822AA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Повинен бути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 указами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постановами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22AA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наказами начальника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посади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заступником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голович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у порядку,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ЗУ “Про службу в органах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ідпорядковується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начальнику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Посада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п’ятої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ідпорядковуються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пільгах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І</w:t>
      </w:r>
      <w:r w:rsidRPr="00822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прийняттю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AAC" w:rsidRPr="00822AAC" w:rsidRDefault="00822AAC" w:rsidP="00822AAC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A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AAC" w:rsidRPr="00822AAC" w:rsidRDefault="00822AAC" w:rsidP="00822A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proofErr w:type="gramStart"/>
      <w:r w:rsidRPr="00822AAC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822AAC">
        <w:rPr>
          <w:rFonts w:ascii="Times New Roman" w:hAnsi="Times New Roman" w:cs="Times New Roman"/>
          <w:b/>
          <w:sz w:val="28"/>
          <w:szCs w:val="28"/>
        </w:rPr>
        <w:t>зки</w:t>
      </w:r>
      <w:proofErr w:type="spellEnd"/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постанов Уряду,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ради  та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виконавську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своєчасному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нарахуванню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виплаті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верствам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сектору до сектору.</w:t>
      </w:r>
    </w:p>
    <w:p w:rsidR="00822AAC" w:rsidRPr="00822AAC" w:rsidRDefault="00822AAC" w:rsidP="00822AAC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ільгах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AAC">
        <w:rPr>
          <w:rFonts w:ascii="Times New Roman" w:hAnsi="Times New Roman" w:cs="Times New Roman"/>
          <w:sz w:val="28"/>
          <w:lang w:val="uk-UA"/>
        </w:rPr>
        <w:t>Організовує, регулює та контролює своєчасний та якісний розгляд працівниками відділу звернень від органів виконавчої влади, народних депутатів, громадських об’єднань, громадян, установ і організацій з напрямків діяльності відділу.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</w:rPr>
        <w:t>Здійснює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контроль за </w:t>
      </w:r>
      <w:proofErr w:type="spellStart"/>
      <w:r w:rsidRPr="00822AAC">
        <w:rPr>
          <w:rFonts w:ascii="Times New Roman" w:hAnsi="Times New Roman" w:cs="Times New Roman"/>
          <w:sz w:val="28"/>
        </w:rPr>
        <w:t>веденнями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діловодства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</w:rPr>
        <w:t>зберіганням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документів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</w:rPr>
        <w:t>в</w:t>
      </w:r>
      <w:proofErr w:type="gramEnd"/>
      <w:r w:rsidRPr="00822AAC">
        <w:rPr>
          <w:rFonts w:ascii="Times New Roman" w:hAnsi="Times New Roman" w:cs="Times New Roman"/>
          <w:sz w:val="28"/>
        </w:rPr>
        <w:t>ідповідно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22AAC">
        <w:rPr>
          <w:rFonts w:ascii="Times New Roman" w:hAnsi="Times New Roman" w:cs="Times New Roman"/>
          <w:sz w:val="28"/>
        </w:rPr>
        <w:t>встановленого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порядку.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</w:rPr>
        <w:t>Подає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пропозиції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начальнику </w:t>
      </w:r>
      <w:proofErr w:type="spellStart"/>
      <w:r w:rsidRPr="00822AAC">
        <w:rPr>
          <w:rFonts w:ascii="Times New Roman" w:hAnsi="Times New Roman" w:cs="Times New Roman"/>
          <w:sz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822AAC">
        <w:rPr>
          <w:rFonts w:ascii="Times New Roman" w:hAnsi="Times New Roman" w:cs="Times New Roman"/>
          <w:sz w:val="28"/>
        </w:rPr>
        <w:t>призначення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на посади, </w:t>
      </w:r>
      <w:proofErr w:type="spellStart"/>
      <w:r w:rsidRPr="00822AAC">
        <w:rPr>
          <w:rFonts w:ascii="Times New Roman" w:hAnsi="Times New Roman" w:cs="Times New Roman"/>
          <w:sz w:val="28"/>
        </w:rPr>
        <w:t>звільнення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посад та </w:t>
      </w:r>
      <w:proofErr w:type="spellStart"/>
      <w:r w:rsidRPr="00822AAC">
        <w:rPr>
          <w:rFonts w:ascii="Times New Roman" w:hAnsi="Times New Roman" w:cs="Times New Roman"/>
          <w:sz w:val="28"/>
        </w:rPr>
        <w:t>переміщення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працівників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</w:rPr>
        <w:t>в</w:t>
      </w:r>
      <w:proofErr w:type="gramEnd"/>
      <w:r w:rsidRPr="00822AAC">
        <w:rPr>
          <w:rFonts w:ascii="Times New Roman" w:hAnsi="Times New Roman" w:cs="Times New Roman"/>
          <w:sz w:val="28"/>
        </w:rPr>
        <w:t>ідділу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</w:rPr>
        <w:t>забезпечує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своєчасно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заміщення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вакансій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</w:rPr>
        <w:t>заохочення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</w:rPr>
        <w:t>накладання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стягнень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</w:rPr>
        <w:t>сприяє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підвищенню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822A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</w:rPr>
        <w:t>працівників</w:t>
      </w:r>
      <w:proofErr w:type="spellEnd"/>
      <w:r w:rsidRPr="00822AAC">
        <w:rPr>
          <w:rFonts w:ascii="Times New Roman" w:hAnsi="Times New Roman" w:cs="Times New Roman"/>
          <w:sz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Перевіряє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право 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заявника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proofErr w:type="gramStart"/>
      <w:r w:rsidRPr="00822AAC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822AAC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допомог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зазначені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заяві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Виконує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822AAC">
        <w:rPr>
          <w:rFonts w:ascii="Times New Roman" w:hAnsi="Times New Roman" w:cs="Times New Roman"/>
          <w:bCs/>
          <w:sz w:val="28"/>
          <w:szCs w:val="28"/>
        </w:rPr>
        <w:t>пов’язан</w:t>
      </w:r>
      <w:proofErr w:type="gramEnd"/>
      <w:r w:rsidRPr="00822AAC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аналітичною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діяльністю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контролю та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призначення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адресних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грошових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  <w:szCs w:val="28"/>
        </w:rPr>
        <w:t>виплат</w:t>
      </w:r>
      <w:proofErr w:type="spellEnd"/>
      <w:r w:rsidRPr="00822AAC">
        <w:rPr>
          <w:rFonts w:ascii="Times New Roman" w:hAnsi="Times New Roman" w:cs="Times New Roman"/>
          <w:bCs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bCs/>
          <w:sz w:val="28"/>
        </w:rPr>
        <w:t>Постійно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вдосконалює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методи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організації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роботи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22AAC">
        <w:rPr>
          <w:rFonts w:ascii="Times New Roman" w:hAnsi="Times New Roman" w:cs="Times New Roman"/>
          <w:bCs/>
          <w:sz w:val="28"/>
        </w:rPr>
        <w:t>на</w:t>
      </w:r>
      <w:proofErr w:type="gram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bCs/>
          <w:sz w:val="28"/>
        </w:rPr>
        <w:t>основ</w:t>
      </w:r>
      <w:proofErr w:type="gramEnd"/>
      <w:r w:rsidRPr="00822AAC">
        <w:rPr>
          <w:rFonts w:ascii="Times New Roman" w:hAnsi="Times New Roman" w:cs="Times New Roman"/>
          <w:bCs/>
          <w:sz w:val="28"/>
        </w:rPr>
        <w:t>і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запровадження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сучасних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інформаційних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технологій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використання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банків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даних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комп'ютерної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техніки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засобів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Cs/>
          <w:sz w:val="28"/>
        </w:rPr>
        <w:t>зв'язку</w:t>
      </w:r>
      <w:proofErr w:type="spellEnd"/>
      <w:r w:rsidRPr="00822AAC">
        <w:rPr>
          <w:rFonts w:ascii="Times New Roman" w:hAnsi="Times New Roman" w:cs="Times New Roman"/>
          <w:bCs/>
          <w:sz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спеціалістам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lastRenderedPageBreak/>
        <w:t xml:space="preserve">Бере участь 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компенсаційних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виконкомі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відділами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службами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AA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Проводить роботу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узагальненню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розповсюдженню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узагальнює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інформаціі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постановах, наказах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листах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вищестоящих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заяви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роз'яснювальну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Бере участь 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заходах,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вдосконалює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свою роботу та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ділову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“Про службу в органах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”, “Про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”, Правил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numPr>
          <w:ilvl w:val="1"/>
          <w:numId w:val="2"/>
        </w:numPr>
        <w:tabs>
          <w:tab w:val="num" w:pos="360"/>
          <w:tab w:val="left" w:pos="720"/>
          <w:tab w:val="num" w:pos="1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АТО.</w:t>
      </w:r>
    </w:p>
    <w:p w:rsidR="00822AAC" w:rsidRPr="00822AAC" w:rsidRDefault="00822AAC" w:rsidP="0082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>ІІІ Права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 3.1.  На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A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 xml:space="preserve"> себе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r w:rsidRPr="00822A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2AAC">
        <w:rPr>
          <w:rFonts w:ascii="Times New Roman" w:hAnsi="Times New Roman" w:cs="Times New Roman"/>
          <w:sz w:val="28"/>
          <w:szCs w:val="28"/>
        </w:rPr>
        <w:t xml:space="preserve">боку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3.2.  На оплату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посади, рангу,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стажу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3.3. На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високопродуктивної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3.4.  На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3.5.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3.6.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3.7.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участь  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семі</w:t>
      </w:r>
      <w:proofErr w:type="gramStart"/>
      <w:r w:rsidRPr="00822AAC">
        <w:rPr>
          <w:rFonts w:ascii="Times New Roman" w:hAnsi="Times New Roman" w:cs="Times New Roman"/>
          <w:sz w:val="28"/>
          <w:szCs w:val="28"/>
        </w:rPr>
        <w:t>нарах</w:t>
      </w:r>
      <w:proofErr w:type="spellEnd"/>
      <w:proofErr w:type="gram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 3.8.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начальнику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lastRenderedPageBreak/>
        <w:t>ІV</w:t>
      </w:r>
      <w:proofErr w:type="gramStart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2AAC">
        <w:rPr>
          <w:rFonts w:ascii="Times New Roman" w:hAnsi="Times New Roman" w:cs="Times New Roman"/>
          <w:b/>
          <w:sz w:val="28"/>
          <w:szCs w:val="28"/>
        </w:rPr>
        <w:t>ідповідальність</w:t>
      </w:r>
      <w:proofErr w:type="spellEnd"/>
    </w:p>
    <w:p w:rsid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порушеня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статей 5, 10, 12, 13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16 Закону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”, Закону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службу”, Закону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AAC" w:rsidRPr="00822AAC" w:rsidRDefault="00822AAC" w:rsidP="00822AAC">
      <w:pPr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V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</w:p>
    <w:p w:rsidR="00822AAC" w:rsidRPr="00822AAC" w:rsidRDefault="00822AAC" w:rsidP="00822AAC">
      <w:pPr>
        <w:jc w:val="both"/>
        <w:rPr>
          <w:rFonts w:ascii="Times New Roman" w:hAnsi="Times New Roman" w:cs="Times New Roman"/>
          <w:sz w:val="28"/>
          <w:szCs w:val="28"/>
        </w:rPr>
      </w:pPr>
      <w:r w:rsidRPr="00822AAC">
        <w:rPr>
          <w:rFonts w:ascii="Times New Roman" w:hAnsi="Times New Roman" w:cs="Times New Roman"/>
          <w:sz w:val="28"/>
          <w:szCs w:val="28"/>
        </w:rPr>
        <w:t xml:space="preserve">5.1. На час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2AA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2AA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компенсацій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відпусткою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, хворобою та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причинами,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22AAC">
        <w:rPr>
          <w:rFonts w:ascii="Times New Roman" w:hAnsi="Times New Roman" w:cs="Times New Roman"/>
          <w:sz w:val="28"/>
          <w:szCs w:val="28"/>
        </w:rPr>
        <w:t>.</w:t>
      </w:r>
    </w:p>
    <w:p w:rsidR="00822AAC" w:rsidRPr="00822AAC" w:rsidRDefault="00822AAC" w:rsidP="00822A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AC" w:rsidRPr="00822AAC" w:rsidRDefault="00822AAC" w:rsidP="00822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822AA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інструкцією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ознайомлена</w:t>
      </w:r>
      <w:proofErr w:type="spellEnd"/>
      <w:r w:rsidRPr="00822AA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Л. </w:t>
      </w:r>
      <w:proofErr w:type="spellStart"/>
      <w:r w:rsidRPr="00822AAC">
        <w:rPr>
          <w:rFonts w:ascii="Times New Roman" w:hAnsi="Times New Roman" w:cs="Times New Roman"/>
          <w:b/>
          <w:sz w:val="28"/>
          <w:szCs w:val="28"/>
        </w:rPr>
        <w:t>Кулинич</w:t>
      </w:r>
      <w:proofErr w:type="spellEnd"/>
    </w:p>
    <w:p w:rsidR="00822AAC" w:rsidRPr="00822AAC" w:rsidRDefault="00822AAC" w:rsidP="00822AA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2AAC" w:rsidRPr="00822AAC" w:rsidRDefault="00822AAC" w:rsidP="00822AAC">
      <w:pPr>
        <w:rPr>
          <w:rFonts w:ascii="Times New Roman" w:hAnsi="Times New Roman" w:cs="Times New Roman"/>
          <w:b/>
          <w:sz w:val="28"/>
          <w:szCs w:val="28"/>
        </w:rPr>
      </w:pPr>
      <w:r w:rsidRPr="00822AAC">
        <w:rPr>
          <w:rFonts w:ascii="Times New Roman" w:hAnsi="Times New Roman" w:cs="Times New Roman"/>
          <w:b/>
          <w:sz w:val="28"/>
          <w:szCs w:val="28"/>
        </w:rPr>
        <w:t>“_____”_______________________20__</w:t>
      </w:r>
      <w:proofErr w:type="gramStart"/>
      <w:r w:rsidRPr="00822A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822AAC" w:rsidRPr="00822AAC" w:rsidRDefault="00822AAC" w:rsidP="00822AAC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22AAC" w:rsidRPr="00822AAC" w:rsidRDefault="00822AAC" w:rsidP="00822AAC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82160D" w:rsidRPr="00822AAC" w:rsidRDefault="0082160D" w:rsidP="00822AAC">
      <w:pPr>
        <w:rPr>
          <w:rFonts w:ascii="Times New Roman" w:hAnsi="Times New Roman" w:cs="Times New Roman"/>
        </w:rPr>
      </w:pPr>
    </w:p>
    <w:sectPr w:rsidR="0082160D" w:rsidRPr="00822AAC" w:rsidSect="00822AAC">
      <w:pgSz w:w="11906" w:h="16838"/>
      <w:pgMar w:top="284" w:right="566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AFB"/>
    <w:multiLevelType w:val="multilevel"/>
    <w:tmpl w:val="0422001F"/>
    <w:numStyleLink w:val="111111"/>
  </w:abstractNum>
  <w:abstractNum w:abstractNumId="1">
    <w:nsid w:val="33AA3B70"/>
    <w:multiLevelType w:val="multilevel"/>
    <w:tmpl w:val="042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7DD37C7"/>
    <w:multiLevelType w:val="multilevel"/>
    <w:tmpl w:val="B9323A9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A277840"/>
    <w:multiLevelType w:val="multilevel"/>
    <w:tmpl w:val="0422001F"/>
    <w:numStyleLink w:val="111111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4"/>
          </w:tabs>
          <w:ind w:left="574" w:hanging="432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B1B"/>
    <w:rsid w:val="000A1FDA"/>
    <w:rsid w:val="00265D64"/>
    <w:rsid w:val="005D1B1B"/>
    <w:rsid w:val="006D002F"/>
    <w:rsid w:val="0082160D"/>
    <w:rsid w:val="00821622"/>
    <w:rsid w:val="00822AAC"/>
    <w:rsid w:val="008E0319"/>
    <w:rsid w:val="00A32FB0"/>
    <w:rsid w:val="00C62212"/>
    <w:rsid w:val="00C71054"/>
    <w:rsid w:val="00D4245A"/>
    <w:rsid w:val="00E767D8"/>
    <w:rsid w:val="00F3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0D"/>
  </w:style>
  <w:style w:type="paragraph" w:styleId="1">
    <w:name w:val="heading 1"/>
    <w:basedOn w:val="a"/>
    <w:link w:val="10"/>
    <w:uiPriority w:val="9"/>
    <w:qFormat/>
    <w:rsid w:val="005D1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767D8"/>
  </w:style>
  <w:style w:type="character" w:customStyle="1" w:styleId="apple-converted-space">
    <w:name w:val="apple-converted-space"/>
    <w:basedOn w:val="a0"/>
    <w:rsid w:val="00E767D8"/>
  </w:style>
  <w:style w:type="character" w:styleId="a4">
    <w:name w:val="Hyperlink"/>
    <w:basedOn w:val="a0"/>
    <w:uiPriority w:val="99"/>
    <w:semiHidden/>
    <w:unhideWhenUsed/>
    <w:rsid w:val="00E767D8"/>
  </w:style>
  <w:style w:type="character" w:styleId="a5">
    <w:name w:val="FollowedHyperlink"/>
    <w:basedOn w:val="a0"/>
    <w:uiPriority w:val="99"/>
    <w:semiHidden/>
    <w:unhideWhenUsed/>
    <w:rsid w:val="00E767D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7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semiHidden/>
    <w:unhideWhenUsed/>
    <w:rsid w:val="00822A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9">
    <w:name w:val="Текст Знак"/>
    <w:basedOn w:val="a0"/>
    <w:link w:val="a8"/>
    <w:semiHidden/>
    <w:rsid w:val="00822AAC"/>
    <w:rPr>
      <w:rFonts w:ascii="Courier New" w:eastAsia="Times New Roman" w:hAnsi="Courier New" w:cs="Courier New"/>
      <w:sz w:val="20"/>
      <w:szCs w:val="20"/>
      <w:lang w:val="uk-UA" w:eastAsia="uk-UA"/>
    </w:rPr>
  </w:style>
  <w:style w:type="numbering" w:styleId="111111">
    <w:name w:val="Outline List 2"/>
    <w:basedOn w:val="a2"/>
    <w:semiHidden/>
    <w:unhideWhenUsed/>
    <w:rsid w:val="00822AA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9</cp:revision>
  <cp:lastPrinted>2018-05-31T11:27:00Z</cp:lastPrinted>
  <dcterms:created xsi:type="dcterms:W3CDTF">2018-05-31T10:45:00Z</dcterms:created>
  <dcterms:modified xsi:type="dcterms:W3CDTF">2018-06-26T06:33:00Z</dcterms:modified>
</cp:coreProperties>
</file>